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D81B" w14:textId="77777777" w:rsidR="00B514AC" w:rsidRPr="00B514AC" w:rsidRDefault="00B514AC" w:rsidP="00B514AC">
      <w:pPr>
        <w:jc w:val="center"/>
        <w:rPr>
          <w:rFonts w:ascii="Aptos" w:eastAsia="Times New Roman" w:hAnsi="Aptos" w:cs="Segoe UI"/>
          <w:color w:val="3B3F44"/>
          <w:sz w:val="24"/>
          <w:szCs w:val="24"/>
        </w:rPr>
      </w:pPr>
      <w:r w:rsidRPr="00B514AC">
        <w:rPr>
          <w:rFonts w:ascii="inherit" w:eastAsia="Times New Roman" w:hAnsi="inherit" w:cs="Segoe UI"/>
          <w:noProof/>
          <w:color w:val="3B3F44"/>
          <w:sz w:val="2"/>
          <w:szCs w:val="2"/>
          <w:bdr w:val="none" w:sz="0" w:space="0" w:color="auto" w:frame="1"/>
        </w:rPr>
        <w:drawing>
          <wp:inline distT="0" distB="0" distL="0" distR="0" wp14:anchorId="4A1F6EA8" wp14:editId="32E4FDC5">
            <wp:extent cx="3903345" cy="1173480"/>
            <wp:effectExtent l="0" t="0" r="1905" b="7620"/>
            <wp:docPr id="2145098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3345" cy="1173480"/>
                    </a:xfrm>
                    <a:prstGeom prst="rect">
                      <a:avLst/>
                    </a:prstGeom>
                    <a:noFill/>
                    <a:ln>
                      <a:noFill/>
                    </a:ln>
                  </pic:spPr>
                </pic:pic>
              </a:graphicData>
            </a:graphic>
          </wp:inline>
        </w:drawing>
      </w:r>
    </w:p>
    <w:p w14:paraId="0AFDB1A8" w14:textId="77777777" w:rsidR="00B514AC" w:rsidRDefault="00B514AC" w:rsidP="00B514AC">
      <w:pPr>
        <w:spacing w:beforeAutospacing="1" w:afterAutospacing="1"/>
        <w:textAlignment w:val="baseline"/>
        <w:rPr>
          <w:rFonts w:ascii="Arial" w:eastAsia="Times New Roman" w:hAnsi="Arial" w:cs="Arial"/>
          <w:b/>
          <w:bCs/>
          <w:color w:val="242424"/>
          <w:sz w:val="23"/>
          <w:szCs w:val="23"/>
          <w:bdr w:val="none" w:sz="0" w:space="0" w:color="auto" w:frame="1"/>
        </w:rPr>
      </w:pPr>
    </w:p>
    <w:p w14:paraId="1AB2C165"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b/>
          <w:bCs/>
          <w:color w:val="242424"/>
          <w:sz w:val="23"/>
          <w:szCs w:val="23"/>
          <w:bdr w:val="none" w:sz="0" w:space="0" w:color="auto" w:frame="1"/>
        </w:rPr>
        <w:t>CMMC Takes Effect Today - Here is What You Need to Know!</w:t>
      </w:r>
    </w:p>
    <w:p w14:paraId="56B2091F"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 </w:t>
      </w:r>
    </w:p>
    <w:p w14:paraId="0714C467"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The CMMC Program Rule (32 CFR Part 170) takes effect today, December 16, 2024. DoD contractors and subcontractors must now comply with formalized cybersecurity requirements to protect Federal Contract Information (FCI</w:t>
      </w:r>
      <w:proofErr w:type="gramStart"/>
      <w:r w:rsidRPr="00B514AC">
        <w:rPr>
          <w:rFonts w:ascii="Arial" w:eastAsia="Times New Roman" w:hAnsi="Arial" w:cs="Arial"/>
          <w:color w:val="242424"/>
          <w:sz w:val="23"/>
          <w:szCs w:val="23"/>
          <w:bdr w:val="none" w:sz="0" w:space="0" w:color="auto" w:frame="1"/>
        </w:rPr>
        <w:t>)</w:t>
      </w:r>
      <w:proofErr w:type="gramEnd"/>
      <w:r w:rsidRPr="00B514AC">
        <w:rPr>
          <w:rFonts w:ascii="Arial" w:eastAsia="Times New Roman" w:hAnsi="Arial" w:cs="Arial"/>
          <w:color w:val="242424"/>
          <w:sz w:val="23"/>
          <w:szCs w:val="23"/>
          <w:bdr w:val="none" w:sz="0" w:space="0" w:color="auto" w:frame="1"/>
        </w:rPr>
        <w:t xml:space="preserve"> and Controlled Unclassified Information (CUI) based on their risk profile.</w:t>
      </w:r>
    </w:p>
    <w:p w14:paraId="42BF6A9A"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 </w:t>
      </w:r>
    </w:p>
    <w:p w14:paraId="44695EDA"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b/>
          <w:bCs/>
          <w:color w:val="242424"/>
          <w:sz w:val="23"/>
          <w:szCs w:val="23"/>
          <w:bdr w:val="none" w:sz="0" w:space="0" w:color="auto" w:frame="1"/>
        </w:rPr>
        <w:t>What Contractors and Subcontractors Need to Do Now</w:t>
      </w:r>
    </w:p>
    <w:p w14:paraId="1968A0EC"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 </w:t>
      </w:r>
    </w:p>
    <w:p w14:paraId="5DF23B66"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DoD contractors subject to CMMC requirements are recommended to establish/re-establish relationships with DoD Contracting Officers and Program Office personnel. Subcontractors subject to CMMC requirements are recommended to contact their prime contractor knowledgeable on CMMC requirements, including legal departments. </w:t>
      </w:r>
    </w:p>
    <w:p w14:paraId="30DDA4B4"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 </w:t>
      </w:r>
    </w:p>
    <w:p w14:paraId="42044F67" w14:textId="77777777" w:rsidR="00B514AC" w:rsidRPr="00B514AC" w:rsidRDefault="00B514AC" w:rsidP="00B514AC">
      <w:pPr>
        <w:numPr>
          <w:ilvl w:val="0"/>
          <w:numId w:val="2"/>
        </w:numPr>
        <w:textAlignment w:val="baseline"/>
        <w:rPr>
          <w:rFonts w:ascii="Aptos" w:eastAsia="Times New Roman" w:hAnsi="Aptos" w:cs="Segoe UI"/>
          <w:color w:val="3B3F44"/>
          <w:sz w:val="24"/>
          <w:szCs w:val="24"/>
        </w:rPr>
      </w:pPr>
      <w:r w:rsidRPr="00B514AC">
        <w:rPr>
          <w:rFonts w:ascii="Arial" w:eastAsia="Times New Roman" w:hAnsi="Arial" w:cs="Arial"/>
          <w:b/>
          <w:bCs/>
          <w:color w:val="3B3F44"/>
          <w:sz w:val="24"/>
          <w:szCs w:val="24"/>
          <w:bdr w:val="none" w:sz="0" w:space="0" w:color="auto" w:frame="1"/>
        </w:rPr>
        <w:t>Evaluate and confirm your in-scope environment </w:t>
      </w:r>
      <w:r w:rsidRPr="00B514AC">
        <w:rPr>
          <w:rFonts w:ascii="Arial" w:eastAsia="Times New Roman" w:hAnsi="Arial" w:cs="Arial"/>
          <w:color w:val="3B3F44"/>
          <w:sz w:val="24"/>
          <w:szCs w:val="24"/>
          <w:bdr w:val="none" w:sz="0" w:space="0" w:color="auto" w:frame="1"/>
        </w:rPr>
        <w:t>in light of the published </w:t>
      </w:r>
      <w:hyperlink r:id="rId6" w:tooltip="https://4icej.r.sp1-brevo.net/mk/cl/f/sh/SMK1E8tHeFuBm0ElivgcfedxSLcw/geY7iGITMH34" w:history="1">
        <w:r w:rsidRPr="00B514AC">
          <w:rPr>
            <w:rFonts w:ascii="Arial" w:eastAsia="Times New Roman" w:hAnsi="Arial" w:cs="Arial"/>
            <w:color w:val="283593"/>
            <w:sz w:val="24"/>
            <w:szCs w:val="24"/>
            <w:u w:val="single"/>
            <w:bdr w:val="none" w:sz="0" w:space="0" w:color="auto" w:frame="1"/>
          </w:rPr>
          <w:t>Scoping Guidance</w:t>
        </w:r>
      </w:hyperlink>
      <w:r w:rsidRPr="00B514AC">
        <w:rPr>
          <w:rFonts w:ascii="Arial" w:eastAsia="Times New Roman" w:hAnsi="Arial" w:cs="Arial"/>
          <w:color w:val="3B3F44"/>
          <w:sz w:val="24"/>
          <w:szCs w:val="24"/>
          <w:bdr w:val="none" w:sz="0" w:space="0" w:color="auto" w:frame="1"/>
        </w:rPr>
        <w:t> to ensure the SSP covers all in-scope system components, locations, personnel, and service providers.</w:t>
      </w:r>
    </w:p>
    <w:p w14:paraId="3A66FD3B" w14:textId="77777777" w:rsidR="00B514AC" w:rsidRPr="00B514AC" w:rsidRDefault="00B514AC" w:rsidP="00B514AC">
      <w:pPr>
        <w:numPr>
          <w:ilvl w:val="0"/>
          <w:numId w:val="2"/>
        </w:numPr>
        <w:textAlignment w:val="baseline"/>
        <w:rPr>
          <w:rFonts w:ascii="Aptos" w:eastAsia="Times New Roman" w:hAnsi="Aptos" w:cs="Segoe UI"/>
          <w:color w:val="3B3F44"/>
          <w:sz w:val="24"/>
          <w:szCs w:val="24"/>
        </w:rPr>
      </w:pPr>
      <w:r w:rsidRPr="00B514AC">
        <w:rPr>
          <w:rFonts w:ascii="Arial" w:eastAsia="Times New Roman" w:hAnsi="Arial" w:cs="Arial"/>
          <w:b/>
          <w:bCs/>
          <w:color w:val="3B3F44"/>
          <w:sz w:val="24"/>
          <w:szCs w:val="24"/>
          <w:bdr w:val="none" w:sz="0" w:space="0" w:color="auto" w:frame="1"/>
        </w:rPr>
        <w:t>Review all responsibility matrices</w:t>
      </w:r>
      <w:r w:rsidRPr="00B514AC">
        <w:rPr>
          <w:rFonts w:ascii="Arial" w:eastAsia="Times New Roman" w:hAnsi="Arial" w:cs="Arial"/>
          <w:color w:val="3B3F44"/>
          <w:sz w:val="24"/>
          <w:szCs w:val="24"/>
          <w:bdr w:val="none" w:sz="0" w:space="0" w:color="auto" w:frame="1"/>
        </w:rPr>
        <w:t> for all service providers and ensure they are clear and detailed.</w:t>
      </w:r>
    </w:p>
    <w:p w14:paraId="1C0D9FF8" w14:textId="77777777" w:rsidR="00B514AC" w:rsidRPr="00B514AC" w:rsidRDefault="00B514AC" w:rsidP="00B514AC">
      <w:pPr>
        <w:numPr>
          <w:ilvl w:val="0"/>
          <w:numId w:val="2"/>
        </w:numPr>
        <w:textAlignment w:val="baseline"/>
        <w:rPr>
          <w:rFonts w:ascii="Aptos" w:eastAsia="Times New Roman" w:hAnsi="Aptos" w:cs="Segoe UI"/>
          <w:color w:val="3B3F44"/>
          <w:sz w:val="24"/>
          <w:szCs w:val="24"/>
        </w:rPr>
      </w:pPr>
      <w:r w:rsidRPr="00B514AC">
        <w:rPr>
          <w:rFonts w:ascii="Arial" w:eastAsia="Times New Roman" w:hAnsi="Arial" w:cs="Arial"/>
          <w:b/>
          <w:bCs/>
          <w:color w:val="3B3F44"/>
          <w:sz w:val="24"/>
          <w:szCs w:val="24"/>
          <w:bdr w:val="none" w:sz="0" w:space="0" w:color="auto" w:frame="1"/>
        </w:rPr>
        <w:t>Review every applicable Assessment Objective</w:t>
      </w:r>
      <w:r w:rsidRPr="00B514AC">
        <w:rPr>
          <w:rFonts w:ascii="Arial" w:eastAsia="Times New Roman" w:hAnsi="Arial" w:cs="Arial"/>
          <w:color w:val="3B3F44"/>
          <w:sz w:val="24"/>
          <w:szCs w:val="24"/>
          <w:bdr w:val="none" w:sz="0" w:space="0" w:color="auto" w:frame="1"/>
        </w:rPr>
        <w:t> in the corresponding </w:t>
      </w:r>
      <w:hyperlink r:id="rId7" w:tooltip="https://4icej.r.sp1-brevo.net/mk/cl/f/sh/SMK1E8tHeG13E93iu5q6lTwhQeDC/FcVUe0BV0iEI" w:history="1">
        <w:r w:rsidRPr="00B514AC">
          <w:rPr>
            <w:rFonts w:ascii="Arial" w:eastAsia="Times New Roman" w:hAnsi="Arial" w:cs="Arial"/>
            <w:color w:val="283593"/>
            <w:sz w:val="24"/>
            <w:szCs w:val="24"/>
            <w:u w:val="single"/>
            <w:bdr w:val="none" w:sz="0" w:space="0" w:color="auto" w:frame="1"/>
          </w:rPr>
          <w:t>CMMC Assessment Guide</w:t>
        </w:r>
      </w:hyperlink>
      <w:r w:rsidRPr="00B514AC">
        <w:rPr>
          <w:rFonts w:ascii="Arial" w:eastAsia="Times New Roman" w:hAnsi="Arial" w:cs="Arial"/>
          <w:color w:val="3B3F44"/>
          <w:sz w:val="24"/>
          <w:szCs w:val="24"/>
          <w:bdr w:val="none" w:sz="0" w:space="0" w:color="auto" w:frame="1"/>
        </w:rPr>
        <w:t> to ensure they are all covered and fully documented in your SSP, and that all referenced supporting documentation exists and is up to date. The Assessment Objectives are used to conduct CMMC assessments and were taken from </w:t>
      </w:r>
      <w:hyperlink r:id="rId8" w:tooltip="https://4icej.r.sp1-brevo.net/mk/cl/f/sh/SMK1E8tHeG7ugHsg5FzarJFROwnS/RmgEL9InIEhX" w:history="1">
        <w:r w:rsidRPr="00B514AC">
          <w:rPr>
            <w:rFonts w:ascii="Arial" w:eastAsia="Times New Roman" w:hAnsi="Arial" w:cs="Arial"/>
            <w:color w:val="283593"/>
            <w:sz w:val="24"/>
            <w:szCs w:val="24"/>
            <w:u w:val="single"/>
            <w:bdr w:val="none" w:sz="0" w:space="0" w:color="auto" w:frame="1"/>
          </w:rPr>
          <w:t>NIST SP 800-171A</w:t>
        </w:r>
      </w:hyperlink>
      <w:r w:rsidRPr="00B514AC">
        <w:rPr>
          <w:rFonts w:ascii="Arial" w:eastAsia="Times New Roman" w:hAnsi="Arial" w:cs="Arial"/>
          <w:color w:val="3B3F44"/>
          <w:sz w:val="24"/>
          <w:szCs w:val="24"/>
          <w:bdr w:val="none" w:sz="0" w:space="0" w:color="auto" w:frame="1"/>
        </w:rPr>
        <w:t>.</w:t>
      </w:r>
    </w:p>
    <w:p w14:paraId="51BEB746" w14:textId="77777777" w:rsidR="00B514AC" w:rsidRPr="00B514AC" w:rsidRDefault="00B514AC" w:rsidP="00B514AC">
      <w:pPr>
        <w:numPr>
          <w:ilvl w:val="0"/>
          <w:numId w:val="2"/>
        </w:numPr>
        <w:textAlignment w:val="baseline"/>
        <w:rPr>
          <w:rFonts w:ascii="Aptos" w:eastAsia="Times New Roman" w:hAnsi="Aptos" w:cs="Segoe UI"/>
          <w:color w:val="3B3F44"/>
          <w:sz w:val="24"/>
          <w:szCs w:val="24"/>
        </w:rPr>
      </w:pPr>
      <w:r w:rsidRPr="00B514AC">
        <w:rPr>
          <w:rFonts w:ascii="Arial" w:eastAsia="Times New Roman" w:hAnsi="Arial" w:cs="Arial"/>
          <w:b/>
          <w:bCs/>
          <w:color w:val="3B3F44"/>
          <w:sz w:val="24"/>
          <w:szCs w:val="24"/>
          <w:bdr w:val="none" w:sz="0" w:space="0" w:color="auto" w:frame="1"/>
        </w:rPr>
        <w:t>Assess your in-scope environment </w:t>
      </w:r>
      <w:r w:rsidRPr="00B514AC">
        <w:rPr>
          <w:rFonts w:ascii="Arial" w:eastAsia="Times New Roman" w:hAnsi="Arial" w:cs="Arial"/>
          <w:color w:val="3B3F44"/>
          <w:sz w:val="24"/>
          <w:szCs w:val="24"/>
          <w:bdr w:val="none" w:sz="0" w:space="0" w:color="auto" w:frame="1"/>
        </w:rPr>
        <w:t>to ensure that all controls described in the SSP are fully in place – and can be proven that they are in place.</w:t>
      </w:r>
    </w:p>
    <w:p w14:paraId="1C89CB87" w14:textId="77777777" w:rsidR="00B514AC" w:rsidRPr="00B514AC" w:rsidRDefault="00B514AC" w:rsidP="00B514AC">
      <w:pPr>
        <w:numPr>
          <w:ilvl w:val="0"/>
          <w:numId w:val="2"/>
        </w:numPr>
        <w:textAlignment w:val="baseline"/>
        <w:rPr>
          <w:rFonts w:ascii="Aptos" w:eastAsia="Times New Roman" w:hAnsi="Aptos" w:cs="Segoe UI"/>
          <w:color w:val="3B3F44"/>
          <w:sz w:val="24"/>
          <w:szCs w:val="24"/>
        </w:rPr>
      </w:pPr>
      <w:r w:rsidRPr="00B514AC">
        <w:rPr>
          <w:rFonts w:ascii="Arial" w:eastAsia="Times New Roman" w:hAnsi="Arial" w:cs="Arial"/>
          <w:b/>
          <w:bCs/>
          <w:color w:val="3B3F44"/>
          <w:sz w:val="24"/>
          <w:szCs w:val="24"/>
          <w:bdr w:val="none" w:sz="0" w:space="0" w:color="auto" w:frame="1"/>
        </w:rPr>
        <w:t>Establish or update accounts as applicable </w:t>
      </w:r>
      <w:r w:rsidRPr="00B514AC">
        <w:rPr>
          <w:rFonts w:ascii="Arial" w:eastAsia="Times New Roman" w:hAnsi="Arial" w:cs="Arial"/>
          <w:color w:val="3B3F44"/>
          <w:sz w:val="24"/>
          <w:szCs w:val="24"/>
          <w:bdr w:val="none" w:sz="0" w:space="0" w:color="auto" w:frame="1"/>
        </w:rPr>
        <w:t>in the </w:t>
      </w:r>
      <w:hyperlink r:id="rId9" w:tooltip="https://4icej.r.sp1-brevo.net/mk/cl/f/sh/SMK1E8tHeGEm8QhdGQ94x8YBNFNi/WhXRJwlYDdJ2" w:history="1">
        <w:r w:rsidRPr="00B514AC">
          <w:rPr>
            <w:rFonts w:ascii="Arial" w:eastAsia="Times New Roman" w:hAnsi="Arial" w:cs="Arial"/>
            <w:color w:val="283593"/>
            <w:sz w:val="24"/>
            <w:szCs w:val="24"/>
            <w:u w:val="single"/>
            <w:bdr w:val="none" w:sz="0" w:space="0" w:color="auto" w:frame="1"/>
          </w:rPr>
          <w:t>Supplier Performance Risk System</w:t>
        </w:r>
      </w:hyperlink>
      <w:r w:rsidRPr="00B514AC">
        <w:rPr>
          <w:rFonts w:ascii="Arial" w:eastAsia="Times New Roman" w:hAnsi="Arial" w:cs="Arial"/>
          <w:color w:val="3B3F44"/>
          <w:sz w:val="24"/>
          <w:szCs w:val="24"/>
          <w:bdr w:val="none" w:sz="0" w:space="0" w:color="auto" w:frame="1"/>
        </w:rPr>
        <w:t> (SPRS) and/or </w:t>
      </w:r>
      <w:hyperlink r:id="rId10" w:tooltip="https://4icej.r.sp1-brevo.net/mk/cl/f/sh/SMK1E8tHeGLdaZWaRaIZ2xqvLXxy/tBlTwnRUH6jo" w:history="1">
        <w:r w:rsidRPr="00B514AC">
          <w:rPr>
            <w:rFonts w:ascii="Arial" w:eastAsia="Times New Roman" w:hAnsi="Arial" w:cs="Arial"/>
            <w:color w:val="283593"/>
            <w:sz w:val="24"/>
            <w:szCs w:val="24"/>
            <w:u w:val="single"/>
            <w:bdr w:val="none" w:sz="0" w:space="0" w:color="auto" w:frame="1"/>
          </w:rPr>
          <w:t>Enterprise Mission Assurance Support Service</w:t>
        </w:r>
      </w:hyperlink>
      <w:r w:rsidRPr="00B514AC">
        <w:rPr>
          <w:rFonts w:ascii="Arial" w:eastAsia="Times New Roman" w:hAnsi="Arial" w:cs="Arial"/>
          <w:color w:val="3B3F44"/>
          <w:sz w:val="24"/>
          <w:szCs w:val="24"/>
          <w:bdr w:val="none" w:sz="0" w:space="0" w:color="auto" w:frame="1"/>
        </w:rPr>
        <w:t> (</w:t>
      </w:r>
      <w:proofErr w:type="spellStart"/>
      <w:r w:rsidRPr="00B514AC">
        <w:rPr>
          <w:rFonts w:ascii="Arial" w:eastAsia="Times New Roman" w:hAnsi="Arial" w:cs="Arial"/>
          <w:color w:val="3B3F44"/>
          <w:sz w:val="24"/>
          <w:szCs w:val="24"/>
          <w:bdr w:val="none" w:sz="0" w:space="0" w:color="auto" w:frame="1"/>
        </w:rPr>
        <w:t>eMASS</w:t>
      </w:r>
      <w:proofErr w:type="spellEnd"/>
      <w:r w:rsidRPr="00B514AC">
        <w:rPr>
          <w:rFonts w:ascii="Arial" w:eastAsia="Times New Roman" w:hAnsi="Arial" w:cs="Arial"/>
          <w:color w:val="3B3F44"/>
          <w:sz w:val="24"/>
          <w:szCs w:val="24"/>
          <w:bdr w:val="none" w:sz="0" w:space="0" w:color="auto" w:frame="1"/>
        </w:rPr>
        <w:t>) systems to ensure your organization’s contact information is correct.</w:t>
      </w:r>
    </w:p>
    <w:p w14:paraId="6D51BE60"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lastRenderedPageBreak/>
        <w:t> </w:t>
      </w:r>
    </w:p>
    <w:p w14:paraId="74015BE3"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To get DoD Office of Small Business Programs endorsed, free CMMC compliance advisement, visit projectspectrum.io. Access an all-inclusive learning platform that provides no-cost resources, tools, and training materials and videos about cybersecurity best practices.</w:t>
      </w:r>
    </w:p>
    <w:p w14:paraId="732F0CC5"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 </w:t>
      </w:r>
    </w:p>
    <w:p w14:paraId="6F09E4C3" w14:textId="77777777" w:rsidR="00B514AC" w:rsidRPr="00B514AC" w:rsidRDefault="00B514AC" w:rsidP="00B514AC">
      <w:pPr>
        <w:spacing w:beforeAutospacing="1" w:afterAutospacing="1"/>
        <w:textAlignment w:val="baseline"/>
        <w:rPr>
          <w:rFonts w:ascii="Segoe UI" w:eastAsia="Times New Roman" w:hAnsi="Segoe UI" w:cs="Segoe UI"/>
          <w:color w:val="242424"/>
          <w:sz w:val="23"/>
          <w:szCs w:val="23"/>
        </w:rPr>
      </w:pPr>
      <w:r w:rsidRPr="00B514AC">
        <w:rPr>
          <w:rFonts w:ascii="Arial" w:eastAsia="Times New Roman" w:hAnsi="Arial" w:cs="Arial"/>
          <w:color w:val="242424"/>
          <w:sz w:val="23"/>
          <w:szCs w:val="23"/>
          <w:bdr w:val="none" w:sz="0" w:space="0" w:color="auto" w:frame="1"/>
        </w:rPr>
        <w:t>Public Affairs Inquiries: </w:t>
      </w:r>
      <w:hyperlink r:id="rId11" w:tooltip="mailto:sara.voigt@eccalon.com" w:history="1">
        <w:r w:rsidRPr="00B514AC">
          <w:rPr>
            <w:rFonts w:ascii="Arial" w:eastAsia="Times New Roman" w:hAnsi="Arial" w:cs="Arial"/>
            <w:color w:val="283593"/>
            <w:sz w:val="23"/>
            <w:szCs w:val="23"/>
            <w:u w:val="single"/>
            <w:bdr w:val="none" w:sz="0" w:space="0" w:color="auto" w:frame="1"/>
          </w:rPr>
          <w:t>sara.voigt@eccalon.com</w:t>
        </w:r>
      </w:hyperlink>
    </w:p>
    <w:p w14:paraId="4AE7D142" w14:textId="5643AD1F" w:rsidR="00F2337A" w:rsidRDefault="00B514AC" w:rsidP="00B514AC">
      <w:r w:rsidRPr="00B514AC">
        <w:rPr>
          <w:rFonts w:ascii="Arial" w:eastAsia="Times New Roman" w:hAnsi="Arial" w:cs="Arial"/>
          <w:color w:val="242424"/>
          <w:sz w:val="23"/>
          <w:szCs w:val="23"/>
          <w:bdr w:val="none" w:sz="0" w:space="0" w:color="auto" w:frame="1"/>
        </w:rPr>
        <w:t>Sara Voigt, Project Spectrum Public Affairs</w:t>
      </w:r>
    </w:p>
    <w:sectPr w:rsidR="00F2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A1A10"/>
    <w:multiLevelType w:val="multilevel"/>
    <w:tmpl w:val="1430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47C65"/>
    <w:multiLevelType w:val="multilevel"/>
    <w:tmpl w:val="21F4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42">
    <w:abstractNumId w:val="0"/>
  </w:num>
  <w:num w:numId="2" w16cid:durableId="114335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AC"/>
    <w:rsid w:val="00050E25"/>
    <w:rsid w:val="000C0A14"/>
    <w:rsid w:val="00334EA3"/>
    <w:rsid w:val="00B514AC"/>
    <w:rsid w:val="00C32643"/>
    <w:rsid w:val="00F2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918A"/>
  <w15:chartTrackingRefBased/>
  <w15:docId w15:val="{766CF292-DE2A-4F09-BC99-B02169C8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A3"/>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334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EA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334EA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34EA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34EA3"/>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334EA3"/>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334EA3"/>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334EA3"/>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334EA3"/>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334EA3"/>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334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EA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34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EA3"/>
    <w:rPr>
      <w:rFonts w:eastAsiaTheme="majorEastAsia" w:cstheme="majorBidi"/>
      <w:color w:val="595959" w:themeColor="text1" w:themeTint="A6"/>
      <w:spacing w:val="15"/>
      <w:kern w:val="0"/>
      <w:sz w:val="28"/>
      <w:szCs w:val="28"/>
      <w14:ligatures w14:val="none"/>
    </w:rPr>
  </w:style>
  <w:style w:type="paragraph" w:styleId="ListParagraph">
    <w:name w:val="List Paragraph"/>
    <w:basedOn w:val="Normal"/>
    <w:uiPriority w:val="34"/>
    <w:qFormat/>
    <w:rsid w:val="00334EA3"/>
    <w:pPr>
      <w:ind w:left="720"/>
      <w:contextualSpacing/>
    </w:pPr>
  </w:style>
  <w:style w:type="paragraph" w:styleId="Quote">
    <w:name w:val="Quote"/>
    <w:basedOn w:val="Normal"/>
    <w:next w:val="Normal"/>
    <w:link w:val="QuoteChar"/>
    <w:uiPriority w:val="29"/>
    <w:qFormat/>
    <w:rsid w:val="00334EA3"/>
    <w:pPr>
      <w:spacing w:before="160"/>
      <w:jc w:val="center"/>
    </w:pPr>
    <w:rPr>
      <w:i/>
      <w:iCs/>
      <w:color w:val="404040" w:themeColor="text1" w:themeTint="BF"/>
    </w:rPr>
  </w:style>
  <w:style w:type="character" w:customStyle="1" w:styleId="QuoteChar">
    <w:name w:val="Quote Char"/>
    <w:basedOn w:val="DefaultParagraphFont"/>
    <w:link w:val="Quote"/>
    <w:uiPriority w:val="29"/>
    <w:rsid w:val="00334EA3"/>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334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EA3"/>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334EA3"/>
    <w:rPr>
      <w:i/>
      <w:iCs/>
      <w:color w:val="0F4761" w:themeColor="accent1" w:themeShade="BF"/>
    </w:rPr>
  </w:style>
  <w:style w:type="character" w:styleId="IntenseReference">
    <w:name w:val="Intense Reference"/>
    <w:basedOn w:val="DefaultParagraphFont"/>
    <w:uiPriority w:val="32"/>
    <w:qFormat/>
    <w:rsid w:val="00334EA3"/>
    <w:rPr>
      <w:b/>
      <w:bCs/>
      <w:smallCaps/>
      <w:color w:val="0F4761" w:themeColor="accent1" w:themeShade="BF"/>
      <w:spacing w:val="5"/>
    </w:rPr>
  </w:style>
  <w:style w:type="paragraph" w:styleId="NormalWeb">
    <w:name w:val="Normal (Web)"/>
    <w:basedOn w:val="Normal"/>
    <w:uiPriority w:val="99"/>
    <w:semiHidden/>
    <w:unhideWhenUsed/>
    <w:rsid w:val="00B514A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514AC"/>
    <w:rPr>
      <w:b/>
      <w:bCs/>
    </w:rPr>
  </w:style>
  <w:style w:type="paragraph" w:customStyle="1" w:styleId="xmsonormal">
    <w:name w:val="x_msonormal"/>
    <w:basedOn w:val="Normal"/>
    <w:rsid w:val="00B514A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8919">
      <w:bodyDiv w:val="1"/>
      <w:marLeft w:val="0"/>
      <w:marRight w:val="0"/>
      <w:marTop w:val="0"/>
      <w:marBottom w:val="0"/>
      <w:divBdr>
        <w:top w:val="none" w:sz="0" w:space="0" w:color="auto"/>
        <w:left w:val="none" w:sz="0" w:space="0" w:color="auto"/>
        <w:bottom w:val="none" w:sz="0" w:space="0" w:color="auto"/>
        <w:right w:val="none" w:sz="0" w:space="0" w:color="auto"/>
      </w:divBdr>
    </w:div>
    <w:div w:id="1778910380">
      <w:bodyDiv w:val="1"/>
      <w:marLeft w:val="0"/>
      <w:marRight w:val="0"/>
      <w:marTop w:val="0"/>
      <w:marBottom w:val="0"/>
      <w:divBdr>
        <w:top w:val="none" w:sz="0" w:space="0" w:color="auto"/>
        <w:left w:val="none" w:sz="0" w:space="0" w:color="auto"/>
        <w:bottom w:val="none" w:sz="0" w:space="0" w:color="auto"/>
        <w:right w:val="none" w:sz="0" w:space="0" w:color="auto"/>
      </w:divBdr>
      <w:divsChild>
        <w:div w:id="454180311">
          <w:marLeft w:val="0"/>
          <w:marRight w:val="0"/>
          <w:marTop w:val="0"/>
          <w:marBottom w:val="0"/>
          <w:divBdr>
            <w:top w:val="none" w:sz="0" w:space="0" w:color="auto"/>
            <w:left w:val="none" w:sz="0" w:space="0" w:color="auto"/>
            <w:bottom w:val="none" w:sz="0" w:space="0" w:color="auto"/>
            <w:right w:val="none" w:sz="0" w:space="0" w:color="auto"/>
          </w:divBdr>
        </w:div>
      </w:divsChild>
    </w:div>
    <w:div w:id="1806697607">
      <w:bodyDiv w:val="1"/>
      <w:marLeft w:val="0"/>
      <w:marRight w:val="0"/>
      <w:marTop w:val="0"/>
      <w:marBottom w:val="0"/>
      <w:divBdr>
        <w:top w:val="none" w:sz="0" w:space="0" w:color="auto"/>
        <w:left w:val="none" w:sz="0" w:space="0" w:color="auto"/>
        <w:bottom w:val="none" w:sz="0" w:space="0" w:color="auto"/>
        <w:right w:val="none" w:sz="0" w:space="0" w:color="auto"/>
      </w:divBdr>
      <w:divsChild>
        <w:div w:id="144546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icej.r.sp1-brevo.net/mk/cl/f/sh/SMK1E8tHeG7ugHsg5FzarJFROwnS/RmgEL9InIEh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icej.r.sp1-brevo.net/mk/cl/f/sh/SMK1E8tHeG13E93iu5q6lTwhQeDC/FcVUe0BV0i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icej.r.sp1-brevo.net/mk/cl/f/sh/SMK1E8tHeFuBm0ElivgcfedxSLcw/geY7iGITMH34" TargetMode="External"/><Relationship Id="rId11" Type="http://schemas.openxmlformats.org/officeDocument/2006/relationships/hyperlink" Target="mailto:sara.voigt@eccalon.com" TargetMode="External"/><Relationship Id="rId5" Type="http://schemas.openxmlformats.org/officeDocument/2006/relationships/image" Target="media/image1.jpeg"/><Relationship Id="rId10" Type="http://schemas.openxmlformats.org/officeDocument/2006/relationships/hyperlink" Target="https://4icej.r.sp1-brevo.net/mk/cl/f/sh/SMK1E8tHeGLdaZWaRaIZ2xqvLXxy/tBlTwnRUH6jo" TargetMode="External"/><Relationship Id="rId4" Type="http://schemas.openxmlformats.org/officeDocument/2006/relationships/webSettings" Target="webSettings.xml"/><Relationship Id="rId9" Type="http://schemas.openxmlformats.org/officeDocument/2006/relationships/hyperlink" Target="https://4icej.r.sp1-brevo.net/mk/cl/f/sh/SMK1E8tHeGEm8QhdGQ94x8YBNFNi/WhXRJwlYDdJ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Ann Linderman</dc:creator>
  <cp:keywords/>
  <dc:description/>
  <cp:lastModifiedBy>Bea Ann Linderman</cp:lastModifiedBy>
  <cp:revision>1</cp:revision>
  <dcterms:created xsi:type="dcterms:W3CDTF">2024-12-16T21:00:00Z</dcterms:created>
  <dcterms:modified xsi:type="dcterms:W3CDTF">2024-12-16T21:02:00Z</dcterms:modified>
</cp:coreProperties>
</file>